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D8" w:rsidRDefault="00123368" w:rsidP="00123368">
      <w:pPr>
        <w:spacing w:line="360" w:lineRule="auto"/>
        <w:ind w:firstLine="567"/>
        <w:jc w:val="center"/>
      </w:pPr>
      <w:r>
        <w:t xml:space="preserve">Пример решения задачи № 3.5.13, </w:t>
      </w:r>
      <w:r w:rsidR="00960BD7">
        <w:t>Сб</w:t>
      </w:r>
      <w:r>
        <w:t>.</w:t>
      </w:r>
      <w:r w:rsidR="00960BD7">
        <w:t xml:space="preserve"> задач Б</w:t>
      </w:r>
      <w:r>
        <w:t>абаев.</w:t>
      </w:r>
    </w:p>
    <w:p w:rsidR="00960BD7" w:rsidRDefault="00960BD7" w:rsidP="00123368">
      <w:pPr>
        <w:spacing w:line="360" w:lineRule="auto"/>
        <w:ind w:firstLine="567"/>
        <w:jc w:val="both"/>
      </w:pPr>
      <w:r>
        <w:t>Сани, масса которых 60 кг, скатившись с горы, имеют скорость 5 м/</w:t>
      </w:r>
      <w:proofErr w:type="gramStart"/>
      <w:r>
        <w:t>с</w:t>
      </w:r>
      <w:proofErr w:type="gramEnd"/>
      <w:r>
        <w:t xml:space="preserve"> и продолжают двигаться по горизонтальному пути. Определить силу трения, действующую на сани</w:t>
      </w:r>
      <w:r w:rsidR="00123368">
        <w:t xml:space="preserve"> на горизонтальном участке движения, если известно, что сани остановились, пройдя 75 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746"/>
      </w:tblGrid>
      <w:tr w:rsidR="00E53708" w:rsidTr="00E53708">
        <w:trPr>
          <w:trHeight w:val="1960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E53708" w:rsidRDefault="00E53708" w:rsidP="00123368">
            <w:pPr>
              <w:spacing w:line="360" w:lineRule="auto"/>
              <w:jc w:val="both"/>
            </w:pPr>
            <w:r>
              <w:t>Дано:</w:t>
            </w:r>
          </w:p>
          <w:p w:rsidR="00E53708" w:rsidRDefault="00E53708" w:rsidP="00123368">
            <w:pPr>
              <w:spacing w:line="360" w:lineRule="auto"/>
              <w:jc w:val="both"/>
            </w:pPr>
            <w:r w:rsidRPr="00123368">
              <w:rPr>
                <w:i/>
                <w:lang w:val="en-US"/>
              </w:rPr>
              <w:t>m</w:t>
            </w:r>
            <w:r w:rsidRPr="00123368">
              <w:t xml:space="preserve"> =</w:t>
            </w:r>
            <w:r>
              <w:t xml:space="preserve"> </w:t>
            </w:r>
            <w:r w:rsidRPr="00123368">
              <w:t xml:space="preserve">60 </w:t>
            </w:r>
            <w:r>
              <w:t>кг</w:t>
            </w:r>
          </w:p>
          <w:p w:rsidR="00E53708" w:rsidRDefault="00E53708" w:rsidP="00123368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123368">
              <w:rPr>
                <w:i/>
              </w:rPr>
              <w:t>υ</w:t>
            </w:r>
            <w:r w:rsidRPr="00123368">
              <w:rPr>
                <w:i/>
                <w:vertAlign w:val="subscript"/>
              </w:rPr>
              <w:t>о</w:t>
            </w:r>
            <w:proofErr w:type="spellEnd"/>
            <w:r>
              <w:rPr>
                <w:i/>
              </w:rPr>
              <w:t xml:space="preserve"> = 5 м/</w:t>
            </w:r>
            <w:proofErr w:type="gramStart"/>
            <w:r>
              <w:rPr>
                <w:i/>
              </w:rPr>
              <w:t>с</w:t>
            </w:r>
            <w:proofErr w:type="gramEnd"/>
          </w:p>
          <w:p w:rsidR="00E53708" w:rsidRDefault="00E53708" w:rsidP="00123368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123368">
              <w:rPr>
                <w:i/>
              </w:rPr>
              <w:t>υ</w:t>
            </w:r>
            <w:proofErr w:type="spellEnd"/>
            <w:r>
              <w:rPr>
                <w:i/>
              </w:rPr>
              <w:t xml:space="preserve"> = 0 м/</w:t>
            </w:r>
            <w:proofErr w:type="gramStart"/>
            <w:r>
              <w:rPr>
                <w:i/>
              </w:rPr>
              <w:t>с</w:t>
            </w:r>
            <w:proofErr w:type="gramEnd"/>
          </w:p>
          <w:p w:rsidR="00E53708" w:rsidRPr="00123368" w:rsidRDefault="00E53708" w:rsidP="00123368">
            <w:pPr>
              <w:spacing w:line="360" w:lineRule="auto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Δr</w:t>
            </w:r>
            <w:proofErr w:type="spellEnd"/>
            <w:r>
              <w:rPr>
                <w:i/>
              </w:rPr>
              <w:t xml:space="preserve"> = 75 м</w:t>
            </w:r>
          </w:p>
        </w:tc>
        <w:tc>
          <w:tcPr>
            <w:tcW w:w="9746" w:type="dxa"/>
            <w:vMerge w:val="restart"/>
            <w:tcBorders>
              <w:left w:val="single" w:sz="4" w:space="0" w:color="auto"/>
            </w:tcBorders>
          </w:tcPr>
          <w:p w:rsidR="00E53708" w:rsidRDefault="00E53708" w:rsidP="00123368">
            <w:pPr>
              <w:spacing w:line="360" w:lineRule="auto"/>
              <w:jc w:val="both"/>
            </w:pPr>
            <w:r>
              <w:t>Решение:</w:t>
            </w:r>
          </w:p>
          <w:p w:rsidR="00E53708" w:rsidRDefault="00E53708" w:rsidP="006763D4">
            <w:pPr>
              <w:pStyle w:val="a6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</w:pPr>
            <w:r>
              <w:t>Свяжем инерциальную систему отсчёта с землей.</w:t>
            </w:r>
          </w:p>
          <w:p w:rsidR="00E53708" w:rsidRDefault="00E53708" w:rsidP="00F94164">
            <w:pPr>
              <w:pStyle w:val="a6"/>
              <w:spacing w:line="360" w:lineRule="auto"/>
              <w:ind w:left="318"/>
              <w:jc w:val="both"/>
            </w:pPr>
          </w:p>
          <w:p w:rsidR="00E53708" w:rsidRDefault="00DB2A3B" w:rsidP="00DB2A3B">
            <w:pPr>
              <w:pStyle w:val="a6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</w:pPr>
            <w:r>
              <w:rPr>
                <w:noProof/>
                <w:lang w:eastAsia="ru-RU"/>
              </w:rPr>
              <w:pict>
                <v:group id="_x0000_s1065" style="position:absolute;left:0;text-align:left;margin-left:313.55pt;margin-top:-52.8pt;width:140.5pt;height:48pt;z-index:251700224" coordorigin="1820,3000" coordsize="2810,96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6" type="#_x0000_t202" style="position:absolute;left:3170;top:3710;width:490;height:250" stroked="f">
                    <v:textbox style="mso-next-textbox:#_x0000_s1066" inset="0,0,0,0">
                      <w:txbxContent>
                        <w:p w:rsidR="00E53708" w:rsidRPr="006763D4" w:rsidRDefault="00E53708">
                          <w:pPr>
                            <w:rPr>
                              <w:oMath/>
                              <w:rFonts w:ascii="Cambria Math" w:hAnsi="Cambria Math"/>
                              <w:color w:val="00B050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00B050"/>
                                </w:rPr>
                                <m:t>Δ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B050"/>
                                    </w:rPr>
                                    <m:t>r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_x0000_s1067" type="#_x0000_t202" style="position:absolute;left:2900;top:3070;width:490;height:250" stroked="f">
                    <v:textbox style="mso-next-textbox:#_x0000_s1067" inset="0,0,0,0">
                      <w:txbxContent>
                        <w:p w:rsidR="00E53708" w:rsidRPr="00123368" w:rsidRDefault="00E53708">
                          <w:pPr>
                            <w:rPr>
                              <w:oMath/>
                              <w:rFonts w:ascii="Cambria Math" w:hAnsi="Cambria Math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υ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о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8" type="#_x0000_t32" style="position:absolute;left:1820;top:3070;width:770;height:400" o:connectortype="straight"/>
                  <v:shape id="_x0000_s1069" type="#_x0000_t32" style="position:absolute;left:2590;top:3470;width:1730;height:0" o:connectortype="straight"/>
                  <v:oval id="_x0000_s1070" style="position:absolute;left:2590;top:3320;width:150;height:150"/>
                  <v:oval id="_x0000_s1071" style="position:absolute;left:4080;top:3320;width:150;height:150"/>
                  <v:shape id="_x0000_s1072" type="#_x0000_t32" style="position:absolute;left:3570;top:3470;width:590;height:0;flip:x" o:connectortype="straight" strokecolor="#0070c0" strokeweight="1.5pt">
                    <v:stroke endarrow="block"/>
                  </v:shape>
                  <v:shape id="_x0000_s1073" type="#_x0000_t202" style="position:absolute;left:3570;top:3140;width:470;height:400" filled="f" stroked="f">
                    <v:textbox inset="0,0,0,0">
                      <w:txbxContent>
                        <w:p w:rsidR="00E53708" w:rsidRPr="00123368" w:rsidRDefault="00E53708">
                          <w:pPr>
                            <w:rPr>
                              <w:color w:val="0070C0"/>
                              <w:vertAlign w:val="subscript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70C0"/>
                                      <w:lang w:val="en-US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70C0"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lang w:val="en-US"/>
                                    </w:rPr>
                                    <m:t>тр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E53708" w:rsidRDefault="00E53708"/>
                      </w:txbxContent>
                    </v:textbox>
                  </v:shape>
                  <v:shape id="_x0000_s1074" type="#_x0000_t32" style="position:absolute;left:2850;top:3320;width:540;height:0" o:connectortype="straight">
                    <v:stroke endarrow="block"/>
                  </v:shape>
                  <v:shape id="_x0000_s1075" type="#_x0000_t32" style="position:absolute;left:4160;top:3400;width:0;height:360" o:connectortype="straight" strokecolor="red" strokeweight="2.25pt">
                    <v:stroke endarrow="block"/>
                  </v:shape>
                  <v:shape id="_x0000_s1076" type="#_x0000_t202" style="position:absolute;left:4160;top:3540;width:470;height:400" filled="f" stroked="f">
                    <v:textbox style="mso-next-textbox:#_x0000_s1076" inset="0,0,0,0">
                      <w:txbxContent>
                        <w:p w:rsidR="00E53708" w:rsidRPr="006763D4" w:rsidRDefault="00E53708">
                          <w:pPr>
                            <w:rPr>
                              <w:color w:val="FF0000"/>
                              <w:vertAlign w:val="subscript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lang w:val="en-US"/>
                                </w:rPr>
                                <m:t>m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lang w:val="en-US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</m:oMathPara>
                        </w:p>
                        <w:p w:rsidR="00E53708" w:rsidRDefault="00E53708"/>
                      </w:txbxContent>
                    </v:textbox>
                  </v:shape>
                  <v:shape id="_x0000_s1077" type="#_x0000_t202" style="position:absolute;left:4160;top:3000;width:470;height:400" filled="f" stroked="f">
                    <v:textbox inset="0,0,0,0">
                      <w:txbxContent>
                        <w:p w:rsidR="00E53708" w:rsidRPr="006763D4" w:rsidRDefault="00E53708">
                          <w:pPr>
                            <w:rPr>
                              <w:oMath/>
                              <w:rFonts w:ascii="Cambria Math" w:eastAsiaTheme="minorEastAsia" w:hAnsi="Cambria Math"/>
                              <w:vertAlign w:val="subscript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val="en-US"/>
                                    </w:rPr>
                                    <m:t>N</m:t>
                                  </m:r>
                                </m:e>
                              </m:acc>
                            </m:oMath>
                          </m:oMathPara>
                        </w:p>
                        <w:p w:rsidR="00E53708" w:rsidRDefault="00E53708"/>
                      </w:txbxContent>
                    </v:textbox>
                  </v:shape>
                  <v:shape id="_x0000_s1078" type="#_x0000_t32" style="position:absolute;left:2650;top:3470;width:1;height:400" o:connectortype="straight">
                    <v:stroke dashstyle="1 1" endcap="round"/>
                  </v:shape>
                  <v:shape id="_x0000_s1079" type="#_x0000_t32" style="position:absolute;left:4160;top:3540;width:0;height:220" o:connectortype="straight">
                    <v:stroke dashstyle="1 1" endcap="round"/>
                  </v:shape>
                  <v:shape id="_x0000_s1080" type="#_x0000_t32" style="position:absolute;left:2650;top:3710;width:1510;height:0" o:connectortype="straight" strokecolor="#00b050" strokeweight="1.5pt">
                    <v:stroke endarrow="block"/>
                  </v:shape>
                  <v:shape id="_x0000_s1081" type="#_x0000_t32" style="position:absolute;left:4160;top:3070;width:0;height:330;flip:y" o:connectortype="straight" strokecolor="black [3213]" strokeweight="1.5pt">
                    <v:stroke endarrow="block"/>
                  </v:shape>
                  <w10:wrap type="square"/>
                </v:group>
              </w:pict>
            </w:r>
            <w:r w:rsidR="00E53708">
              <w:t>На сани действует три силы – тяжести, реакции опоры и трения. Т.к. силы тяжести и реакции опоры перпендикулярны</w:t>
            </w:r>
            <w:r w:rsidR="00E53708" w:rsidRPr="006763D4">
              <w:t xml:space="preserve"> </w:t>
            </w:r>
            <w:r w:rsidR="00E53708">
              <w:t xml:space="preserve">перемещению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Δr</m:t>
                  </m:r>
                </m:e>
              </m:acc>
            </m:oMath>
            <w:r w:rsidR="00E53708">
              <w:rPr>
                <w:rFonts w:eastAsiaTheme="minorEastAsia"/>
              </w:rPr>
              <w:t xml:space="preserve">, то они не совершают работы, а, следовательно, и не могут изменить кинетическую энергию тела. </w:t>
            </w:r>
          </w:p>
        </w:tc>
      </w:tr>
      <w:tr w:rsidR="00E53708" w:rsidTr="00E53708">
        <w:trPr>
          <w:trHeight w:val="350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E53708" w:rsidRDefault="00E53708" w:rsidP="00123368">
            <w:pPr>
              <w:spacing w:line="360" w:lineRule="auto"/>
              <w:jc w:val="both"/>
            </w:pPr>
            <w:r>
              <w:rPr>
                <w:i/>
                <w:lang w:val="en-US"/>
              </w:rPr>
              <w:t>F</w:t>
            </w:r>
            <w:proofErr w:type="spellStart"/>
            <w:r>
              <w:rPr>
                <w:i/>
                <w:vertAlign w:val="subscript"/>
              </w:rPr>
              <w:t>тр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= ?</w:t>
            </w:r>
            <w:proofErr w:type="gramEnd"/>
          </w:p>
        </w:tc>
        <w:tc>
          <w:tcPr>
            <w:tcW w:w="9746" w:type="dxa"/>
            <w:vMerge/>
            <w:tcBorders>
              <w:left w:val="single" w:sz="4" w:space="0" w:color="auto"/>
            </w:tcBorders>
          </w:tcPr>
          <w:p w:rsidR="00E53708" w:rsidRDefault="00E53708" w:rsidP="00123368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</w:tc>
      </w:tr>
      <w:tr w:rsidR="00E53708" w:rsidTr="00E53708">
        <w:trPr>
          <w:trHeight w:val="7980"/>
        </w:trPr>
        <w:tc>
          <w:tcPr>
            <w:tcW w:w="10988" w:type="dxa"/>
            <w:gridSpan w:val="2"/>
          </w:tcPr>
          <w:p w:rsidR="00E53708" w:rsidRPr="00136B88" w:rsidRDefault="00DB2A3B" w:rsidP="00DB2A3B">
            <w:pPr>
              <w:pStyle w:val="a6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</w:pPr>
            <w:r w:rsidRPr="00DB2A3B">
              <w:rPr>
                <w:rFonts w:eastAsiaTheme="minorEastAsia"/>
              </w:rPr>
              <w:t xml:space="preserve">Поэтому применим теорему об изменении </w:t>
            </w:r>
            <w:r w:rsidR="00E53708" w:rsidRPr="00DB2A3B">
              <w:rPr>
                <w:rFonts w:eastAsiaTheme="minorEastAsia"/>
              </w:rPr>
              <w:t>кинетической энергии санок под действием силы трения:</w:t>
            </w:r>
          </w:p>
          <w:p w:rsidR="00E53708" w:rsidRDefault="00E53708" w:rsidP="00DB2A3B">
            <w:pPr>
              <w:spacing w:line="360" w:lineRule="auto"/>
              <w:ind w:left="34"/>
              <w:jc w:val="center"/>
            </w:pPr>
            <w:r>
              <w:t>К</w:t>
            </w:r>
            <w:r w:rsidRPr="00DB2A3B">
              <w:rPr>
                <w:vertAlign w:val="subscript"/>
              </w:rPr>
              <w:t>о</w:t>
            </w:r>
            <w:r>
              <w:t xml:space="preserve"> + А</w:t>
            </w:r>
            <w:r w:rsidRPr="00DB2A3B">
              <w:rPr>
                <w:vertAlign w:val="subscript"/>
              </w:rPr>
              <w:t>ТР</w:t>
            </w:r>
            <w:r>
              <w:t xml:space="preserve"> = К</w:t>
            </w:r>
          </w:p>
          <w:p w:rsidR="00E53708" w:rsidRDefault="00E53708" w:rsidP="00136B88">
            <w:pPr>
              <w:pStyle w:val="a6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</w:pPr>
            <w:r>
              <w:t>С учётом формул кинетической энергии и работы теорема примет вид</w:t>
            </w:r>
          </w:p>
          <w:p w:rsidR="00E53708" w:rsidRDefault="00E53708" w:rsidP="00254357">
            <w:pPr>
              <w:pStyle w:val="a6"/>
              <w:spacing w:line="360" w:lineRule="auto"/>
              <w:ind w:left="318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ТР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∙cos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180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m∙0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E53708" w:rsidRPr="00B445BB" w:rsidRDefault="00E53708" w:rsidP="00136B88">
            <w:pPr>
              <w:pStyle w:val="a6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</w:pPr>
            <w:r>
              <w:t xml:space="preserve">Известно, что </w:t>
            </w:r>
            <m:oMath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=-1</m:t>
              </m:r>
            </m:oMath>
            <w:r>
              <w:rPr>
                <w:rFonts w:eastAsiaTheme="minorEastAsia"/>
              </w:rPr>
              <w:t xml:space="preserve">, тогда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</m:e>
                    <m:sub>
                      <w:proofErr w:type="gramStart"/>
                      <m:r>
                        <w:rPr>
                          <w:rFonts w:ascii="Cambria Math" w:hAnsi="Cambria Math"/>
                        </w:rPr>
                        <m:t>ТР</m:t>
                      </m:r>
                      <w:proofErr w:type="gramEnd"/>
                    </m:sub>
                  </m:sSub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=0</m:t>
              </m:r>
            </m:oMath>
          </w:p>
          <w:p w:rsidR="00E53708" w:rsidRPr="00B445BB" w:rsidRDefault="00E53708" w:rsidP="00136B88">
            <w:pPr>
              <w:pStyle w:val="a6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</w:pPr>
            <w:r>
              <w:rPr>
                <w:rFonts w:eastAsiaTheme="minorEastAsia"/>
              </w:rPr>
              <w:t xml:space="preserve">После преобразований       </w:t>
            </w:r>
            <w:r w:rsidR="00DB2A3B">
              <w:rPr>
                <w:rFonts w:eastAsiaTheme="minorEastAsia"/>
              </w:rPr>
              <w:t xml:space="preserve">                            </w:t>
            </w:r>
            <w:r>
              <w:rPr>
                <w:rFonts w:eastAsiaTheme="minorEastAsia"/>
              </w:rPr>
              <w:t xml:space="preserve">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</m:e>
                    <m:sub>
                      <w:proofErr w:type="gramStart"/>
                      <m:r>
                        <w:rPr>
                          <w:rFonts w:ascii="Cambria Math" w:hAnsi="Cambria Math"/>
                        </w:rPr>
                        <m:t>ТР</m:t>
                      </m:r>
                      <w:proofErr w:type="gramEnd"/>
                    </m:sub>
                  </m:sSub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</m:d>
                </m:den>
              </m:f>
            </m:oMath>
            <w:r>
              <w:rPr>
                <w:rFonts w:eastAsiaTheme="minorEastAsia"/>
              </w:rPr>
              <w:t xml:space="preserve">       </w:t>
            </w:r>
          </w:p>
          <w:p w:rsidR="00E53708" w:rsidRPr="00E53708" w:rsidRDefault="00E53708" w:rsidP="00136B88">
            <w:pPr>
              <w:pStyle w:val="a6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</w:pPr>
            <w:r>
              <w:t>Вычисления</w:t>
            </w:r>
            <w:r w:rsidR="00DB2A3B">
              <w:t xml:space="preserve">                                                          </w:t>
            </w:r>
            <w: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</m:e>
                    <m:sub>
                      <w:proofErr w:type="gramStart"/>
                      <m:r>
                        <w:rPr>
                          <w:rFonts w:ascii="Cambria Math" w:hAnsi="Cambria Math"/>
                        </w:rPr>
                        <m:t>ТР</m:t>
                      </m:r>
                      <w:proofErr w:type="gramEnd"/>
                    </m:sub>
                  </m:sSub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60 кг∙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5 м/с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2∙75 м</m:t>
                  </m:r>
                </m:den>
              </m:f>
              <m:r>
                <w:rPr>
                  <w:rFonts w:ascii="Cambria Math" w:hAnsi="Cambria Math"/>
                </w:rPr>
                <m:t>=10 Н</m:t>
              </m:r>
            </m:oMath>
            <w:r>
              <w:rPr>
                <w:rFonts w:eastAsiaTheme="minorEastAsia"/>
              </w:rPr>
              <w:t>.</w:t>
            </w:r>
          </w:p>
          <w:p w:rsidR="00E53708" w:rsidRDefault="00DB2A3B" w:rsidP="00E53708">
            <w:pPr>
              <w:spacing w:line="360" w:lineRule="auto"/>
              <w:jc w:val="both"/>
            </w:pPr>
            <w:r>
              <w:t xml:space="preserve">Ответ: </w:t>
            </w: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 xml:space="preserve">ТР </w:t>
            </w:r>
            <w:r>
              <w:t>=</w:t>
            </w:r>
            <w:r>
              <w:rPr>
                <w:lang w:val="en-US"/>
              </w:rPr>
              <w:t xml:space="preserve"> </w:t>
            </w:r>
            <w:r>
              <w:t>10 Н</w:t>
            </w:r>
          </w:p>
          <w:p w:rsidR="00DB2A3B" w:rsidRPr="00B445BB" w:rsidRDefault="00DB2A3B" w:rsidP="00E53708">
            <w:pPr>
              <w:spacing w:line="360" w:lineRule="auto"/>
              <w:jc w:val="both"/>
            </w:pPr>
          </w:p>
          <w:p w:rsidR="00E53708" w:rsidRPr="0032442C" w:rsidRDefault="00E53708" w:rsidP="00E53708">
            <w:pPr>
              <w:spacing w:line="360" w:lineRule="auto"/>
              <w:ind w:left="34"/>
              <w:jc w:val="both"/>
            </w:pPr>
            <w:r w:rsidRPr="00E53708">
              <w:rPr>
                <w:rFonts w:eastAsiaTheme="minorEastAsia"/>
              </w:rPr>
              <w:t>Мы ответили на вопрос задачи, однако попробуем сделать дополнительные выводы.</w:t>
            </w:r>
          </w:p>
          <w:p w:rsidR="00E53708" w:rsidRPr="0032442C" w:rsidRDefault="00E53708" w:rsidP="00E53708">
            <w:pPr>
              <w:pStyle w:val="a6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</w:pPr>
            <w:r w:rsidRPr="00E53708">
              <w:rPr>
                <w:rFonts w:eastAsiaTheme="minorEastAsia"/>
              </w:rPr>
              <w:t xml:space="preserve">Из формулы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w:proofErr w:type="gramStart"/>
                      <m:r>
                        <w:rPr>
                          <w:rFonts w:ascii="Cambria Math" w:hAnsi="Cambria Math"/>
                        </w:rPr>
                        <m:t>ТР</m:t>
                      </m:r>
                      <w:proofErr w:type="gramEnd"/>
                    </m:sub>
                  </m:sSub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2∆</m:t>
                  </m:r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den>
              </m:f>
            </m:oMath>
            <w:r w:rsidRPr="00E53708">
              <w:rPr>
                <w:rFonts w:eastAsiaTheme="minorEastAsia"/>
              </w:rPr>
              <w:t xml:space="preserve">  получим выражение для тормозного  пути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∆r=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ТР</m:t>
                      </m:r>
                    </m:sub>
                  </m:sSub>
                </m:den>
              </m:f>
            </m:oMath>
          </w:p>
          <w:p w:rsidR="00E53708" w:rsidRPr="0032442C" w:rsidRDefault="00E53708" w:rsidP="00E53708">
            <w:pPr>
              <w:spacing w:line="360" w:lineRule="auto"/>
              <w:ind w:left="34"/>
              <w:jc w:val="both"/>
            </w:pPr>
            <w:r>
              <w:t xml:space="preserve">Как известно, 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rPr>
                <w:vertAlign w:val="subscript"/>
              </w:rPr>
              <w:t>ТР</w:t>
            </w:r>
            <w:r w:rsidRPr="00E53708">
              <w:t xml:space="preserve"> = </w:t>
            </w:r>
            <w:proofErr w:type="spellStart"/>
            <w:r>
              <w:rPr>
                <w:lang w:val="en-US"/>
              </w:rPr>
              <w:t>μN</w:t>
            </w:r>
            <w:proofErr w:type="spellEnd"/>
            <w:r>
              <w:t xml:space="preserve">, а сила реакции опоры на горизонтальной дороге равна по модулю силе тяжести </w:t>
            </w:r>
            <w:r w:rsidRPr="00E53708">
              <w:rPr>
                <w:i/>
                <w:lang w:val="en-US"/>
              </w:rPr>
              <w:t>F</w:t>
            </w:r>
            <w:r w:rsidRPr="00E53708">
              <w:rPr>
                <w:i/>
                <w:vertAlign w:val="subscript"/>
              </w:rPr>
              <w:t>ТР</w:t>
            </w:r>
            <w:r w:rsidRPr="00E53708">
              <w:rPr>
                <w:i/>
              </w:rPr>
              <w:t xml:space="preserve"> = </w:t>
            </w:r>
            <w:proofErr w:type="spellStart"/>
            <w:r w:rsidRPr="00E53708">
              <w:rPr>
                <w:i/>
                <w:lang w:val="en-US"/>
              </w:rPr>
              <w:t>μmg</w:t>
            </w:r>
            <w:proofErr w:type="spellEnd"/>
            <w:r>
              <w:rPr>
                <w:i/>
              </w:rPr>
              <w:t xml:space="preserve">. </w:t>
            </w:r>
            <w:r w:rsidRPr="00E53708">
              <w:t>Тогда</w:t>
            </w:r>
            <w:r>
              <w:rPr>
                <w:lang w:val="en-US"/>
              </w:rPr>
              <w:t xml:space="preserve">                     </w:t>
            </w:r>
            <w:r w:rsidR="00DB2A3B">
              <w:t xml:space="preserve">                                              </w:t>
            </w:r>
            <w:r>
              <w:rPr>
                <w:lang w:val="en-US"/>
              </w:rPr>
              <w:t xml:space="preserve">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∆r=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μmg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2μg</m:t>
                  </m:r>
                </m:den>
              </m:f>
            </m:oMath>
          </w:p>
          <w:p w:rsidR="00E53708" w:rsidRDefault="00E53708" w:rsidP="00E53708">
            <w:pPr>
              <w:pStyle w:val="a6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</w:pPr>
            <w:r>
              <w:t>Для повседневной жизни пешехода на дороге важно знать</w:t>
            </w:r>
            <w:r w:rsidR="00DB2A3B">
              <w:t>:</w:t>
            </w:r>
          </w:p>
          <w:p w:rsidR="00E53708" w:rsidRDefault="00E53708" w:rsidP="00E53708">
            <w:pPr>
              <w:pStyle w:val="a6"/>
              <w:numPr>
                <w:ilvl w:val="0"/>
                <w:numId w:val="2"/>
              </w:numPr>
              <w:spacing w:line="360" w:lineRule="auto"/>
              <w:ind w:left="459" w:hanging="218"/>
              <w:jc w:val="both"/>
            </w:pPr>
            <w:r>
              <w:t>длина тормозного пути прямо пропорциональна квадрату скорости</w:t>
            </w:r>
            <w:r w:rsidR="00DB2A3B">
              <w:t xml:space="preserve">: </w:t>
            </w:r>
            <w:r>
              <w:t xml:space="preserve">увеличение скорости движения </w:t>
            </w:r>
            <w:r w:rsidR="00DB2A3B">
              <w:t xml:space="preserve">транспортного средства </w:t>
            </w:r>
            <w:r w:rsidRPr="0032442C">
              <w:rPr>
                <w:i/>
              </w:rPr>
              <w:t>вдвое</w:t>
            </w:r>
            <w:r>
              <w:t xml:space="preserve"> увеличивает тормозной путь </w:t>
            </w:r>
            <w:r w:rsidRPr="0032442C">
              <w:rPr>
                <w:i/>
              </w:rPr>
              <w:t>вчетверо</w:t>
            </w:r>
            <w:r>
              <w:t>;</w:t>
            </w:r>
          </w:p>
          <w:p w:rsidR="00E53708" w:rsidRDefault="00E53708" w:rsidP="00DB2A3B">
            <w:pPr>
              <w:pStyle w:val="a6"/>
              <w:numPr>
                <w:ilvl w:val="0"/>
                <w:numId w:val="2"/>
              </w:numPr>
              <w:spacing w:line="360" w:lineRule="auto"/>
              <w:ind w:left="459" w:hanging="218"/>
              <w:jc w:val="both"/>
              <w:rPr>
                <w:noProof/>
                <w:lang w:eastAsia="ru-RU"/>
              </w:rPr>
            </w:pPr>
            <w:r>
              <w:t xml:space="preserve">чем меньше коэффициент трения, тем больше тормозной путь: на сухом асфальте коэффициент трения 0,5, на обледенелой дороге - 0,15, </w:t>
            </w:r>
            <w:r w:rsidR="00DB2A3B">
              <w:t>т</w:t>
            </w:r>
            <w:r>
              <w:t xml:space="preserve">.е. </w:t>
            </w:r>
            <w:r w:rsidR="00DB2A3B">
              <w:t xml:space="preserve">зимой </w:t>
            </w:r>
            <w:r>
              <w:t xml:space="preserve">тормозной путь </w:t>
            </w:r>
            <w:r w:rsidR="00DB2A3B">
              <w:t xml:space="preserve">автомобиля </w:t>
            </w:r>
            <w:r>
              <w:t xml:space="preserve">увеличится </w:t>
            </w:r>
            <w:r w:rsidR="00DB2A3B" w:rsidRPr="00DB2A3B">
              <w:rPr>
                <w:i/>
              </w:rPr>
              <w:t>примерно</w:t>
            </w:r>
            <w:r w:rsidR="00DB2A3B">
              <w:t xml:space="preserve"> </w:t>
            </w:r>
            <w:r>
              <w:t>втрое.</w:t>
            </w:r>
          </w:p>
        </w:tc>
      </w:tr>
    </w:tbl>
    <w:p w:rsidR="00123368" w:rsidRDefault="00123368" w:rsidP="00123368">
      <w:pPr>
        <w:spacing w:line="360" w:lineRule="auto"/>
        <w:ind w:firstLine="567"/>
        <w:jc w:val="both"/>
      </w:pPr>
    </w:p>
    <w:p w:rsidR="00123368" w:rsidRDefault="00123368" w:rsidP="00123368">
      <w:pPr>
        <w:spacing w:line="360" w:lineRule="auto"/>
        <w:ind w:firstLine="567"/>
        <w:jc w:val="both"/>
      </w:pPr>
    </w:p>
    <w:p w:rsidR="00123368" w:rsidRDefault="00123368" w:rsidP="00123368">
      <w:pPr>
        <w:spacing w:line="360" w:lineRule="auto"/>
        <w:ind w:firstLine="567"/>
        <w:jc w:val="both"/>
      </w:pPr>
    </w:p>
    <w:p w:rsidR="00123368" w:rsidRDefault="00123368"/>
    <w:sectPr w:rsidR="00123368" w:rsidSect="00960BD7"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61C"/>
    <w:multiLevelType w:val="hybridMultilevel"/>
    <w:tmpl w:val="F9082EF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73125A94"/>
    <w:multiLevelType w:val="hybridMultilevel"/>
    <w:tmpl w:val="4AFE5B04"/>
    <w:lvl w:ilvl="0" w:tplc="CBDA17E0">
      <w:start w:val="1"/>
      <w:numFmt w:val="bullet"/>
      <w:lvlText w:val="–"/>
      <w:lvlJc w:val="left"/>
      <w:pPr>
        <w:ind w:left="1038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788313BA"/>
    <w:multiLevelType w:val="hybridMultilevel"/>
    <w:tmpl w:val="72A80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0BD7"/>
    <w:rsid w:val="00123368"/>
    <w:rsid w:val="00136B88"/>
    <w:rsid w:val="00254357"/>
    <w:rsid w:val="0032442C"/>
    <w:rsid w:val="006763D4"/>
    <w:rsid w:val="006B14D8"/>
    <w:rsid w:val="006F26CA"/>
    <w:rsid w:val="00960BD7"/>
    <w:rsid w:val="00A21F8A"/>
    <w:rsid w:val="00B445BB"/>
    <w:rsid w:val="00DB2A3B"/>
    <w:rsid w:val="00E53708"/>
    <w:rsid w:val="00F9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30" type="connector" idref="#_x0000_s1068"/>
        <o:r id="V:Rule31" type="connector" idref="#_x0000_s1069"/>
        <o:r id="V:Rule32" type="connector" idref="#_x0000_s1072"/>
        <o:r id="V:Rule33" type="connector" idref="#_x0000_s1074"/>
        <o:r id="V:Rule34" type="connector" idref="#_x0000_s1075"/>
        <o:r id="V:Rule35" type="connector" idref="#_x0000_s1081"/>
        <o:r id="V:Rule36" type="connector" idref="#_x0000_s1078"/>
        <o:r id="V:Rule37" type="connector" idref="#_x0000_s1079"/>
        <o:r id="V:Rule38" type="connector" idref="#_x0000_s108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63D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543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95CF3-5796-4C46-9FD3-8687396C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2014-02-09T15:36:00Z</dcterms:created>
  <dcterms:modified xsi:type="dcterms:W3CDTF">2014-02-09T17:29:00Z</dcterms:modified>
</cp:coreProperties>
</file>