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09" w:rsidRPr="002F770C" w:rsidRDefault="00BB4F74" w:rsidP="00A46D09">
      <w:pPr>
        <w:spacing w:after="0" w:line="240" w:lineRule="auto"/>
        <w:jc w:val="center"/>
      </w:pPr>
      <w:r w:rsidRPr="002F770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220345</wp:posOffset>
            </wp:positionV>
            <wp:extent cx="3813810" cy="15506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09" w:rsidRPr="002F770C">
        <w:t>Пример решения задачи по теме «Закон сохранения импульса»</w:t>
      </w:r>
    </w:p>
    <w:p w:rsidR="00A46D09" w:rsidRPr="002F770C" w:rsidRDefault="00A46D09" w:rsidP="00A46D09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896"/>
      </w:tblGrid>
      <w:tr w:rsidR="00A46D09" w:rsidRPr="002F770C" w:rsidTr="00C76EEC">
        <w:trPr>
          <w:trHeight w:val="1051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A46D09" w:rsidRPr="002F770C" w:rsidRDefault="00A46D09" w:rsidP="00B24808">
            <w:r w:rsidRPr="002F770C">
              <w:t>2</w:t>
            </w:r>
            <w:r w:rsidR="00B24808" w:rsidRPr="002F770C">
              <w:t xml:space="preserve">. </w:t>
            </w:r>
            <w:r w:rsidRPr="002F770C">
              <w:t xml:space="preserve"> Дано:</w:t>
            </w:r>
          </w:p>
          <w:p w:rsidR="00A46D09" w:rsidRPr="002F770C" w:rsidRDefault="00A46D09" w:rsidP="00C76EEC">
            <w:r w:rsidRPr="002F770C">
              <w:rPr>
                <w:lang w:val="en-US"/>
              </w:rPr>
              <w:t>m</w:t>
            </w:r>
            <w:r w:rsidRPr="002F770C">
              <w:rPr>
                <w:vertAlign w:val="subscript"/>
              </w:rPr>
              <w:t>1</w:t>
            </w:r>
            <w:r w:rsidRPr="002F770C">
              <w:t xml:space="preserve"> = 2 кг</w:t>
            </w:r>
          </w:p>
          <w:p w:rsidR="00A46D09" w:rsidRPr="002F770C" w:rsidRDefault="00A46D09" w:rsidP="00C76EEC">
            <w:r w:rsidRPr="002F770C">
              <w:rPr>
                <w:lang w:val="en-US"/>
              </w:rPr>
              <w:t>υ</w:t>
            </w:r>
            <w:r w:rsidRPr="002F770C">
              <w:rPr>
                <w:vertAlign w:val="subscript"/>
              </w:rPr>
              <w:t>01</w:t>
            </w:r>
            <w:r w:rsidRPr="002F770C">
              <w:t xml:space="preserve"> = 7 м/с</w:t>
            </w:r>
          </w:p>
          <w:p w:rsidR="00A46D09" w:rsidRPr="002F770C" w:rsidRDefault="00A46D09" w:rsidP="00A46D09">
            <w:r w:rsidRPr="002F770C">
              <w:rPr>
                <w:lang w:val="en-US"/>
              </w:rPr>
              <w:t>m</w:t>
            </w:r>
            <w:r w:rsidRPr="002F770C">
              <w:rPr>
                <w:vertAlign w:val="subscript"/>
              </w:rPr>
              <w:t>2</w:t>
            </w:r>
            <w:r w:rsidRPr="002F770C">
              <w:t xml:space="preserve">= 10 м </w:t>
            </w:r>
          </w:p>
          <w:p w:rsidR="00A46D09" w:rsidRPr="002F770C" w:rsidRDefault="00A46D09" w:rsidP="00A46D09">
            <w:r w:rsidRPr="002F770C">
              <w:rPr>
                <w:lang w:val="en-US"/>
              </w:rPr>
              <w:t>υ</w:t>
            </w:r>
            <w:r w:rsidRPr="002F770C">
              <w:rPr>
                <w:vertAlign w:val="subscript"/>
              </w:rPr>
              <w:t>02</w:t>
            </w:r>
            <w:r w:rsidRPr="002F770C">
              <w:t xml:space="preserve"> = 1 м/с</w:t>
            </w:r>
          </w:p>
        </w:tc>
        <w:tc>
          <w:tcPr>
            <w:tcW w:w="8896" w:type="dxa"/>
            <w:vMerge w:val="restart"/>
            <w:tcBorders>
              <w:left w:val="single" w:sz="4" w:space="0" w:color="auto"/>
            </w:tcBorders>
          </w:tcPr>
          <w:p w:rsidR="00A46D09" w:rsidRPr="002F770C" w:rsidRDefault="00A46D09" w:rsidP="00C76EEC">
            <w:r w:rsidRPr="002F770C">
              <w:t>Решение:</w:t>
            </w:r>
          </w:p>
          <w:p w:rsidR="00A46D09" w:rsidRPr="002F770C" w:rsidRDefault="00A46D09" w:rsidP="00A46D09">
            <w:pPr>
              <w:pStyle w:val="a4"/>
              <w:numPr>
                <w:ilvl w:val="0"/>
                <w:numId w:val="1"/>
              </w:numPr>
              <w:ind w:left="364"/>
              <w:jc w:val="both"/>
            </w:pPr>
            <w:r w:rsidRPr="002F770C">
              <w:t>А) Тележка на колесах, поэтому силой трения пренебрегаем, векторная сумма сил тяжести и упругости равна нулю – система замкнутая</w:t>
            </w:r>
            <w:r w:rsidR="00B24808" w:rsidRPr="002F770C">
              <w:t xml:space="preserve">, </w:t>
            </w:r>
            <w:r w:rsidRPr="002F770C">
              <w:t>можно применить ЗСИ.</w:t>
            </w:r>
          </w:p>
          <w:p w:rsidR="00A46D09" w:rsidRPr="002F770C" w:rsidRDefault="00A46D09" w:rsidP="00C76EEC">
            <w:pPr>
              <w:jc w:val="both"/>
              <w:rPr>
                <w:noProof/>
                <w:lang w:eastAsia="ru-RU"/>
              </w:rPr>
            </w:pPr>
            <w:r w:rsidRPr="002F770C">
              <w:t>Б) Момент взаимодействия – попадание тележки в песок.</w:t>
            </w:r>
            <w:r w:rsidRPr="002F770C">
              <w:rPr>
                <w:noProof/>
                <w:lang w:eastAsia="ru-RU"/>
              </w:rPr>
              <w:t xml:space="preserve"> </w:t>
            </w:r>
          </w:p>
          <w:p w:rsidR="00A46D09" w:rsidRPr="002F770C" w:rsidRDefault="00A46D09" w:rsidP="00C76EEC">
            <w:pPr>
              <w:jc w:val="both"/>
              <w:rPr>
                <w:noProof/>
                <w:lang w:eastAsia="ru-RU"/>
              </w:rPr>
            </w:pPr>
            <w:r w:rsidRPr="002F770C">
              <w:rPr>
                <w:noProof/>
                <w:lang w:eastAsia="ru-RU"/>
              </w:rPr>
              <w:t xml:space="preserve">Значит до взаимодействия тела двигались независимо друг от друга, а после взаимодействия – как единое целое, т.е. произошел абсолютно неупругий удар. </w:t>
            </w:r>
          </w:p>
          <w:p w:rsidR="00A46D09" w:rsidRPr="002F770C" w:rsidRDefault="00A46D09" w:rsidP="00C76EEC">
            <w:pPr>
              <w:jc w:val="both"/>
            </w:pPr>
            <w:r w:rsidRPr="002F770C">
              <w:rPr>
                <w:noProof/>
                <w:color w:val="FF0000"/>
                <w:lang w:eastAsia="ru-RU"/>
              </w:rPr>
              <w:t xml:space="preserve">Ошибкой будет считать, что после взаимодействия шар не движется относительно земли. </w:t>
            </w:r>
            <w:r w:rsidRPr="002F770C">
              <w:rPr>
                <w:noProof/>
                <w:lang w:eastAsia="ru-RU"/>
              </w:rPr>
              <w:t xml:space="preserve">Шар </w:t>
            </w:r>
            <w:r w:rsidR="00B24808" w:rsidRPr="002F770C">
              <w:rPr>
                <w:noProof/>
                <w:lang w:eastAsia="ru-RU"/>
              </w:rPr>
              <w:t xml:space="preserve">застрял в тележке и </w:t>
            </w:r>
            <w:r w:rsidRPr="002F770C">
              <w:rPr>
                <w:noProof/>
                <w:lang w:eastAsia="ru-RU"/>
              </w:rPr>
              <w:t xml:space="preserve">движется со скоростью тележки, т. е. </w:t>
            </w:r>
            <w:r w:rsidRPr="002F770C">
              <w:rPr>
                <w:i/>
                <w:lang w:val="en-US"/>
              </w:rPr>
              <w:t>υ</w:t>
            </w:r>
            <w:r w:rsidRPr="002F770C">
              <w:rPr>
                <w:i/>
                <w:vertAlign w:val="subscript"/>
              </w:rPr>
              <w:t>2</w:t>
            </w:r>
            <w:r w:rsidRPr="002F770C">
              <w:rPr>
                <w:i/>
              </w:rPr>
              <w:t xml:space="preserve"> = </w:t>
            </w:r>
            <w:r w:rsidRPr="002F770C">
              <w:rPr>
                <w:i/>
                <w:lang w:val="en-US"/>
              </w:rPr>
              <w:t>υ</w:t>
            </w:r>
            <w:r w:rsidRPr="002F770C">
              <w:rPr>
                <w:i/>
                <w:vertAlign w:val="subscript"/>
              </w:rPr>
              <w:t>1</w:t>
            </w:r>
            <w:r w:rsidRPr="002F770C">
              <w:rPr>
                <w:i/>
              </w:rPr>
              <w:t xml:space="preserve"> = </w:t>
            </w:r>
            <w:r w:rsidRPr="002F770C">
              <w:rPr>
                <w:i/>
                <w:lang w:val="en-US"/>
              </w:rPr>
              <w:t>υ</w:t>
            </w:r>
          </w:p>
        </w:tc>
      </w:tr>
      <w:tr w:rsidR="00A46D09" w:rsidRPr="002F770C" w:rsidTr="00C76EEC">
        <w:trPr>
          <w:trHeight w:val="27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A46D09" w:rsidRPr="002F770C" w:rsidRDefault="00A46D09" w:rsidP="00A46D09">
            <w:r w:rsidRPr="002F770C">
              <w:rPr>
                <w:lang w:val="en-US"/>
              </w:rPr>
              <w:t>υ - ?</w:t>
            </w:r>
          </w:p>
        </w:tc>
        <w:tc>
          <w:tcPr>
            <w:tcW w:w="8896" w:type="dxa"/>
            <w:vMerge/>
            <w:tcBorders>
              <w:left w:val="single" w:sz="4" w:space="0" w:color="auto"/>
            </w:tcBorders>
          </w:tcPr>
          <w:p w:rsidR="00A46D09" w:rsidRPr="002F770C" w:rsidRDefault="00A46D09" w:rsidP="00C76EEC"/>
        </w:tc>
      </w:tr>
      <w:tr w:rsidR="00A46D09" w:rsidRPr="002F770C" w:rsidTr="00C76EEC">
        <w:trPr>
          <w:trHeight w:val="1985"/>
        </w:trPr>
        <w:tc>
          <w:tcPr>
            <w:tcW w:w="10138" w:type="dxa"/>
            <w:gridSpan w:val="2"/>
          </w:tcPr>
          <w:p w:rsidR="00A46D09" w:rsidRPr="002F770C" w:rsidRDefault="00A46D09" w:rsidP="00BB4F74">
            <w:pPr>
              <w:pStyle w:val="a4"/>
              <w:numPr>
                <w:ilvl w:val="0"/>
                <w:numId w:val="4"/>
              </w:numPr>
              <w:jc w:val="both"/>
            </w:pPr>
            <w:r w:rsidRPr="002F770C">
              <w:t xml:space="preserve">Рисунок: </w:t>
            </w:r>
          </w:p>
          <w:p w:rsidR="00A46D09" w:rsidRPr="002F770C" w:rsidRDefault="00A46D09" w:rsidP="00BB4F74">
            <w:pPr>
              <w:jc w:val="both"/>
            </w:pPr>
          </w:p>
          <w:p w:rsidR="00C142A3" w:rsidRPr="002F770C" w:rsidRDefault="00C142A3" w:rsidP="00BB4F74">
            <w:pPr>
              <w:pStyle w:val="a4"/>
              <w:numPr>
                <w:ilvl w:val="0"/>
                <w:numId w:val="4"/>
              </w:numPr>
              <w:jc w:val="both"/>
            </w:pPr>
            <w:r w:rsidRPr="002F770C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329565</wp:posOffset>
                  </wp:positionV>
                  <wp:extent cx="1170940" cy="694690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37" t="54735" r="62002" b="13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770C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102235</wp:posOffset>
                  </wp:positionV>
                  <wp:extent cx="1831340" cy="921385"/>
                  <wp:effectExtent l="19050" t="0" r="0" b="0"/>
                  <wp:wrapTopAndBottom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29" t="44257" r="62002" b="13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770C">
              <w:rPr>
                <w:noProof/>
                <w:color w:val="FF0000"/>
                <w:lang w:eastAsia="ru-RU"/>
              </w:rPr>
              <w:pict>
                <v:group id="_x0000_s1116" style="position:absolute;left:0;text-align:left;margin-left:64.25pt;margin-top:8.35pt;width:426.85pt;height:64.55pt;z-index:251678720;mso-position-horizontal-relative:text;mso-position-vertical-relative:text" coordorigin="2419,6750" coordsize="8537,12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3" type="#_x0000_t202" style="position:absolute;left:10402;top:7660;width:416;height:381" filled="f" stroked="f">
                    <v:textbox style="mso-next-textbox:#_x0000_s1113">
                      <w:txbxContent>
                        <w:p w:rsidR="00B24808" w:rsidRPr="00B24808" w:rsidRDefault="00B24808">
                          <w:pPr>
                            <w:rPr>
                              <w:b/>
                              <w:color w:val="8DB3E2" w:themeColor="text2" w:themeTint="66"/>
                              <w:sz w:val="24"/>
                              <w:szCs w:val="24"/>
                            </w:rPr>
                          </w:pPr>
                          <w:r w:rsidRPr="00B24808">
                            <w:rPr>
                              <w:b/>
                              <w:color w:val="8DB3E2" w:themeColor="text2" w:themeTint="66"/>
                              <w:sz w:val="24"/>
                              <w:szCs w:val="24"/>
                            </w:rPr>
                            <w:t>Х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2" type="#_x0000_t32" style="position:absolute;left:2419;top:8006;width:8537;height:35" o:connectortype="straight" strokecolor="#8db3e2 [1311]" strokeweight="2.25pt">
                    <v:stroke endarrow="open"/>
                  </v:shape>
                  <v:oval id="_x0000_s1111" style="position:absolute;left:9285;top:7418;width:265;height:242" fillcolor="white [3212]"/>
                  <v:shape id="_x0000_s1114" type="#_x0000_t32" style="position:absolute;left:8628;top:7131;width:807;height:0" o:connectortype="straight" strokeweight="1pt">
                    <v:stroke endarrow="block"/>
                  </v:shape>
                  <v:shape id="_x0000_s1115" type="#_x0000_t202" style="position:absolute;left:8766;top:6750;width:416;height:381" filled="f" stroked="f">
                    <v:textbox style="mso-next-textbox:#_x0000_s1115">
                      <w:txbxContent>
                        <w:p w:rsidR="00C142A3" w:rsidRPr="00C142A3" w:rsidRDefault="00C142A3" w:rsidP="00C142A3">
                          <w:pPr>
                            <w:rPr>
                              <w:oMath/>
                              <w:rFonts w:ascii="Cambria Math" w:hAnsi="Cambria Math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υ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</w:pict>
            </w:r>
            <w:r w:rsidR="00BB4F74" w:rsidRPr="002F770C">
              <w:t xml:space="preserve">А) </w:t>
            </w:r>
            <w:r w:rsidRPr="002F770C">
              <w:t>ЗСИ в векторном виде</w:t>
            </w:r>
          </w:p>
          <w:p w:rsidR="00C142A3" w:rsidRPr="002F770C" w:rsidRDefault="00C142A3" w:rsidP="00C142A3">
            <w:pPr>
              <w:jc w:val="both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01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υ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  <w:p w:rsidR="00BB4F74" w:rsidRPr="002F770C" w:rsidRDefault="00BB4F74" w:rsidP="00C142A3">
            <w:pPr>
              <w:jc w:val="both"/>
              <w:rPr>
                <w:rFonts w:eastAsiaTheme="minorEastAsia"/>
                <w:i/>
                <w:lang w:val="en-US"/>
              </w:rPr>
            </w:pPr>
          </w:p>
          <w:p w:rsidR="00BB4F74" w:rsidRPr="002F770C" w:rsidRDefault="00BB4F74" w:rsidP="00BB4F74">
            <w:pPr>
              <w:ind w:left="709"/>
              <w:jc w:val="both"/>
            </w:pPr>
            <w:r w:rsidRPr="002F770C">
              <w:rPr>
                <w:rFonts w:eastAsiaTheme="minorEastAsia"/>
              </w:rPr>
              <w:t xml:space="preserve">Б) ЗСИ в проекциях на ось ОХ          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1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  <w:r w:rsidRPr="002F770C">
              <w:rPr>
                <w:rFonts w:eastAsiaTheme="minorEastAsia"/>
                <w:i/>
                <w:vertAlign w:val="subscript"/>
              </w:rPr>
              <w:t>01</w:t>
            </w:r>
            <w:r w:rsidRPr="002F770C">
              <w:rPr>
                <w:rFonts w:eastAsiaTheme="minorEastAsia"/>
                <w:i/>
              </w:rPr>
              <w:t xml:space="preserve"> – 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2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  <w:r w:rsidRPr="002F770C">
              <w:rPr>
                <w:rFonts w:eastAsiaTheme="minorEastAsia"/>
                <w:i/>
                <w:vertAlign w:val="subscript"/>
              </w:rPr>
              <w:t>02</w:t>
            </w:r>
            <w:r w:rsidRPr="002F770C">
              <w:rPr>
                <w:rFonts w:eastAsiaTheme="minorEastAsia"/>
                <w:i/>
              </w:rPr>
              <w:t xml:space="preserve"> = 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1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  <w:r w:rsidRPr="002F770C">
              <w:rPr>
                <w:rFonts w:eastAsiaTheme="minorEastAsia"/>
                <w:i/>
              </w:rPr>
              <w:t xml:space="preserve"> +</w:t>
            </w:r>
            <w:r w:rsidR="002F770C">
              <w:rPr>
                <w:rFonts w:eastAsiaTheme="minorEastAsia"/>
                <w:i/>
              </w:rPr>
              <w:t xml:space="preserve"> 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2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</w:p>
          <w:p w:rsidR="00BB4F74" w:rsidRPr="002F770C" w:rsidRDefault="00BB4F74" w:rsidP="00C142A3">
            <w:pPr>
              <w:jc w:val="both"/>
              <w:rPr>
                <w:rFonts w:eastAsiaTheme="minorEastAsia"/>
              </w:rPr>
            </w:pPr>
          </w:p>
          <w:p w:rsidR="00BB4F74" w:rsidRPr="002F770C" w:rsidRDefault="00BB4F74" w:rsidP="00BB4F74">
            <w:pPr>
              <w:pStyle w:val="a4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2F770C">
              <w:t xml:space="preserve">Преобразования и ответ                  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1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  <w:r w:rsidRPr="002F770C">
              <w:rPr>
                <w:rFonts w:eastAsiaTheme="minorEastAsia"/>
                <w:i/>
                <w:vertAlign w:val="subscript"/>
              </w:rPr>
              <w:t>01</w:t>
            </w:r>
            <w:r w:rsidRPr="002F770C">
              <w:rPr>
                <w:rFonts w:eastAsiaTheme="minorEastAsia"/>
                <w:i/>
              </w:rPr>
              <w:t xml:space="preserve"> – 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2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  <w:r w:rsidRPr="002F770C">
              <w:rPr>
                <w:rFonts w:eastAsiaTheme="minorEastAsia"/>
                <w:i/>
                <w:vertAlign w:val="subscript"/>
              </w:rPr>
              <w:t>02</w:t>
            </w:r>
            <w:r w:rsidRPr="002F770C">
              <w:rPr>
                <w:rFonts w:eastAsiaTheme="minorEastAsia"/>
                <w:i/>
              </w:rPr>
              <w:t xml:space="preserve"> = (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1</w:t>
            </w:r>
            <w:r w:rsidRPr="002F770C">
              <w:rPr>
                <w:rFonts w:eastAsiaTheme="minorEastAsia"/>
                <w:i/>
              </w:rPr>
              <w:t xml:space="preserve"> +</w:t>
            </w:r>
            <w:r w:rsidRPr="002F770C">
              <w:rPr>
                <w:rFonts w:eastAsiaTheme="minorEastAsia"/>
                <w:i/>
                <w:lang w:val="en-US"/>
              </w:rPr>
              <w:t>m</w:t>
            </w:r>
            <w:r w:rsidRPr="002F770C">
              <w:rPr>
                <w:rFonts w:eastAsiaTheme="minorEastAsia"/>
                <w:i/>
                <w:vertAlign w:val="subscript"/>
              </w:rPr>
              <w:t>2</w:t>
            </w:r>
            <w:r w:rsidRPr="002F770C">
              <w:rPr>
                <w:rFonts w:eastAsiaTheme="minorEastAsia"/>
                <w:i/>
              </w:rPr>
              <w:t>)</w:t>
            </w:r>
            <w:r w:rsidRPr="002F770C">
              <w:rPr>
                <w:rFonts w:eastAsiaTheme="minorEastAsia"/>
                <w:i/>
                <w:lang w:val="en-US"/>
              </w:rPr>
              <w:t>υ</w:t>
            </w:r>
          </w:p>
          <w:p w:rsidR="00BB4F74" w:rsidRPr="002F770C" w:rsidRDefault="00BB4F74" w:rsidP="00BB4F74">
            <w:pPr>
              <w:pStyle w:val="a4"/>
              <w:jc w:val="both"/>
              <w:rPr>
                <w:i/>
              </w:rPr>
            </w:pPr>
          </w:p>
          <w:p w:rsidR="00A46D09" w:rsidRPr="002F770C" w:rsidRDefault="00BB4F74" w:rsidP="00BB4F74">
            <w:pPr>
              <w:pStyle w:val="a4"/>
              <w:jc w:val="both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υ=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–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A751E3" w:rsidRPr="002F770C" w:rsidRDefault="00BB4F74" w:rsidP="00BB4F74">
            <w:pPr>
              <w:pStyle w:val="a4"/>
              <w:numPr>
                <w:ilvl w:val="0"/>
                <w:numId w:val="4"/>
              </w:numPr>
              <w:jc w:val="both"/>
            </w:pPr>
            <w:r w:rsidRPr="002F770C">
              <w:t>Расчёт</w:t>
            </w:r>
          </w:p>
          <w:p w:rsidR="00BB4F74" w:rsidRPr="002F770C" w:rsidRDefault="00BB4F74" w:rsidP="00A751E3">
            <w:pPr>
              <w:pStyle w:val="a4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υ=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кг∙7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с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– 10 кг∙1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 xml:space="preserve">2 кг 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10 кг</m:t>
                    </m:r>
                  </m:den>
                </m:f>
                <m:r>
                  <w:rPr>
                    <w:rFonts w:ascii="Cambria Math" w:hAnsi="Cambria Math"/>
                  </w:rPr>
                  <m:t>=0,33 м/с</m:t>
                </m:r>
              </m:oMath>
            </m:oMathPara>
            <w:bookmarkStart w:id="0" w:name="_GoBack"/>
            <w:bookmarkEnd w:id="0"/>
          </w:p>
          <w:p w:rsidR="00A46D09" w:rsidRPr="002F770C" w:rsidRDefault="00A46D09" w:rsidP="00C76EEC">
            <w:pPr>
              <w:jc w:val="both"/>
            </w:pPr>
          </w:p>
        </w:tc>
      </w:tr>
    </w:tbl>
    <w:p w:rsidR="003D756F" w:rsidRPr="002F770C" w:rsidRDefault="00A751E3">
      <w:r w:rsidRPr="002F770C">
        <w:t>Ответ 0,33 м/</w:t>
      </w:r>
      <w:proofErr w:type="gramStart"/>
      <w:r w:rsidRPr="002F770C">
        <w:t>с</w:t>
      </w:r>
      <w:proofErr w:type="gramEnd"/>
      <w:r w:rsidRPr="002F770C">
        <w:t>.</w:t>
      </w:r>
    </w:p>
    <w:sectPr w:rsidR="003D756F" w:rsidRPr="002F770C" w:rsidSect="004B7DF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E0"/>
    <w:multiLevelType w:val="hybridMultilevel"/>
    <w:tmpl w:val="F7D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449"/>
    <w:multiLevelType w:val="hybridMultilevel"/>
    <w:tmpl w:val="C76A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C5C"/>
    <w:multiLevelType w:val="hybridMultilevel"/>
    <w:tmpl w:val="41E2D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AD1"/>
    <w:multiLevelType w:val="hybridMultilevel"/>
    <w:tmpl w:val="7E064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D09"/>
    <w:rsid w:val="002F770C"/>
    <w:rsid w:val="003D756F"/>
    <w:rsid w:val="00A46D09"/>
    <w:rsid w:val="00A751E3"/>
    <w:rsid w:val="00B24808"/>
    <w:rsid w:val="00BB4F74"/>
    <w:rsid w:val="00C1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fillcolor="none [3212]" strokecolor="none [1311]"/>
    </o:shapedefaults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arc" idref="#_x0000_s1055"/>
        <o:r id="V:Rule5" type="arc" idref="#_x0000_s1056"/>
        <o:r id="V:Rule6" type="connector" idref="#Прямая со стрелкой 5"/>
        <o:r id="V:Rule7" type="connector" idref="#Прямая со стрелкой 6"/>
        <o:r id="V:Rule8" type="connector" idref="#Прямая со стрелкой 7"/>
        <o:r id="V:Rule9" type="arc" idref="#_x0000_s1086"/>
        <o:r id="V:Rule10" type="arc" idref="#_x0000_s1087"/>
        <o:r id="V:Rule11" type="connector" idref="#_x0000_s1048"/>
        <o:r id="V:Rule12" type="connector" idref="#_x0000_s1080"/>
        <o:r id="V:Rule13" type="connector" idref="#_x0000_s1078"/>
        <o:r id="V:Rule14" type="connector" idref="#_x0000_s1079"/>
        <o:r id="V:Rule15" type="connector" idref="#_x0000_s1049"/>
        <o:r id="V:Rule16" type="connector" idref="#Прямая со стрелкой 7"/>
        <o:r id="V:Rule17" type="connector" idref="#Прямая со стрелкой 5"/>
        <o:r id="V:Rule18" type="connector" idref="#Прямая со стрелкой 6"/>
        <o:r id="V:Rule19" type="connector" idref="#_x0000_s1047"/>
        <o:r id="V:Rule21" type="connector" idref="#_x0000_s1109"/>
        <o:r id="V:Rule23" type="connector" idref="#_x0000_s1110"/>
        <o:r id="V:Rule25" type="connector" idref="#_x0000_s1112"/>
        <o:r id="V:Rule27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0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142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Семёновна</dc:creator>
  <cp:keywords/>
  <dc:description/>
  <cp:lastModifiedBy>Мария Семёновна</cp:lastModifiedBy>
  <cp:revision>3</cp:revision>
  <dcterms:created xsi:type="dcterms:W3CDTF">2013-12-08T04:40:00Z</dcterms:created>
  <dcterms:modified xsi:type="dcterms:W3CDTF">2013-12-08T06:12:00Z</dcterms:modified>
</cp:coreProperties>
</file>